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AF25" w14:textId="77777777" w:rsidR="008452BD" w:rsidRDefault="008452BD" w:rsidP="008452BD">
      <w:pPr>
        <w:pStyle w:val="Nzev"/>
      </w:pPr>
      <w:bookmarkStart w:id="0" w:name="_stoov3prycv"/>
      <w:bookmarkEnd w:id="0"/>
      <w:r>
        <w:t>U</w:t>
      </w:r>
      <w:r>
        <w:rPr>
          <w:lang w:val="de-DE"/>
        </w:rPr>
        <w:t xml:space="preserve"> ARMEX ENERGY z</w:t>
      </w:r>
      <w:proofErr w:type="spellStart"/>
      <w:r>
        <w:t>ískáte</w:t>
      </w:r>
      <w:proofErr w:type="spellEnd"/>
      <w:r>
        <w:t xml:space="preserve"> k výhodný</w:t>
      </w:r>
      <w:r>
        <w:rPr>
          <w:lang w:val="da-DK"/>
        </w:rPr>
        <w:t>m energi</w:t>
      </w:r>
      <w:proofErr w:type="spellStart"/>
      <w:r>
        <w:t>ím</w:t>
      </w:r>
      <w:proofErr w:type="spellEnd"/>
      <w:r>
        <w:t xml:space="preserve"> čištění komínu zdarma</w:t>
      </w:r>
    </w:p>
    <w:p w14:paraId="29891E58" w14:textId="77777777" w:rsidR="008452BD" w:rsidRDefault="008452BD" w:rsidP="008452BD"/>
    <w:p w14:paraId="0C5DF222" w14:textId="77777777" w:rsidR="008452BD" w:rsidRDefault="008452BD" w:rsidP="008452BD">
      <w:pPr>
        <w:rPr>
          <w:b/>
          <w:bCs/>
        </w:rPr>
      </w:pPr>
      <w:r>
        <w:rPr>
          <w:b/>
          <w:bCs/>
        </w:rPr>
        <w:t xml:space="preserve">Dodavatel energií </w:t>
      </w:r>
      <w:r>
        <w:rPr>
          <w:b/>
          <w:bCs/>
          <w:lang w:val="en-US"/>
        </w:rPr>
        <w:t xml:space="preserve">ARMEX ENERGY </w:t>
      </w:r>
      <w:proofErr w:type="spellStart"/>
      <w:r>
        <w:rPr>
          <w:b/>
          <w:bCs/>
          <w:lang w:val="en-US"/>
        </w:rPr>
        <w:t>spou</w:t>
      </w:r>
      <w:r>
        <w:rPr>
          <w:b/>
          <w:bCs/>
        </w:rPr>
        <w:t>ští</w:t>
      </w:r>
      <w:proofErr w:type="spellEnd"/>
      <w:r>
        <w:rPr>
          <w:b/>
          <w:bCs/>
        </w:rPr>
        <w:t xml:space="preserve"> podzimní kampaň, která </w:t>
      </w:r>
      <w:r>
        <w:rPr>
          <w:b/>
          <w:bCs/>
          <w:lang w:val="nl-NL"/>
        </w:rPr>
        <w:t>k v</w:t>
      </w:r>
      <w:proofErr w:type="spellStart"/>
      <w:r>
        <w:rPr>
          <w:b/>
          <w:bCs/>
        </w:rPr>
        <w:t>ýhodný</w:t>
      </w:r>
      <w:proofErr w:type="spellEnd"/>
      <w:r>
        <w:rPr>
          <w:b/>
          <w:bCs/>
          <w:lang w:val="pt-PT"/>
        </w:rPr>
        <w:t>m cen</w:t>
      </w:r>
      <w:r>
        <w:rPr>
          <w:b/>
          <w:bCs/>
        </w:rPr>
        <w:t>á</w:t>
      </w:r>
      <w:r>
        <w:rPr>
          <w:b/>
          <w:bCs/>
          <w:lang w:val="da-DK"/>
        </w:rPr>
        <w:t>m energi</w:t>
      </w:r>
      <w:r>
        <w:rPr>
          <w:b/>
          <w:bCs/>
        </w:rPr>
        <w:t xml:space="preserve">í přidává jako bonus čištění komínu zdarma. V kampani zároveň v nadsázce dodává, že u ARMEXU padají ceny, a nikoliv komíny, čímž odlehčenou formou poukazuje na povinnost </w:t>
      </w:r>
      <w:proofErr w:type="spellStart"/>
      <w:r>
        <w:rPr>
          <w:b/>
          <w:bCs/>
        </w:rPr>
        <w:t>pravideln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kontroly pro všechny majitele kotlů na plyn a pevná paliva, ale tak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pro ty, kteří si jen </w:t>
      </w:r>
      <w:proofErr w:type="spellStart"/>
      <w:r>
        <w:rPr>
          <w:b/>
          <w:bCs/>
        </w:rPr>
        <w:t>sez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nně</w:t>
      </w:r>
      <w:proofErr w:type="spellEnd"/>
      <w:r>
        <w:rPr>
          <w:b/>
          <w:bCs/>
        </w:rPr>
        <w:t xml:space="preserve"> přitápí krbovými kamny. </w:t>
      </w:r>
    </w:p>
    <w:p w14:paraId="0B1EC5DE" w14:textId="77777777" w:rsidR="008452BD" w:rsidRDefault="008452BD" w:rsidP="008452BD">
      <w:pPr>
        <w:rPr>
          <w:i/>
          <w:iCs/>
        </w:rPr>
      </w:pPr>
    </w:p>
    <w:p w14:paraId="36997C03" w14:textId="77777777" w:rsidR="008452BD" w:rsidRDefault="008452BD" w:rsidP="008452BD">
      <w:r>
        <w:t xml:space="preserve">„V poslední době spousta domácností přešla na alternativní způsoby vytápění,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přinášejí rizika v podobě požárů a škodních udá</w:t>
      </w:r>
      <w:r>
        <w:rPr>
          <w:lang w:val="en-US"/>
        </w:rPr>
        <w:t>lost</w:t>
      </w:r>
      <w:r>
        <w:t xml:space="preserve">í. Proto </w:t>
      </w:r>
      <w:proofErr w:type="spellStart"/>
      <w:r>
        <w:t>vš</w:t>
      </w:r>
      <w:proofErr w:type="spellEnd"/>
      <w:r>
        <w:rPr>
          <w:lang w:val="pt-PT"/>
        </w:rPr>
        <w:t>em nov</w:t>
      </w:r>
      <w:proofErr w:type="spellStart"/>
      <w:r>
        <w:t>ým</w:t>
      </w:r>
      <w:proofErr w:type="spellEnd"/>
      <w:r>
        <w:t xml:space="preserve"> zákazníkům, kteří k nám přejdou s energiemi, zajistí naše dceřiná firma CUP Kominictví bezplatné čištění </w:t>
      </w:r>
      <w:proofErr w:type="spellStart"/>
      <w:r>
        <w:t>spalinov</w:t>
      </w:r>
      <w:proofErr w:type="spellEnd"/>
      <w:r>
        <w:rPr>
          <w:lang w:val="fr-FR"/>
        </w:rPr>
        <w:t xml:space="preserve">é </w:t>
      </w:r>
      <w:r>
        <w:t>cesty na adrese odběru,</w:t>
      </w:r>
      <w:r>
        <w:rPr>
          <w:lang w:val="de-DE"/>
        </w:rPr>
        <w:t xml:space="preserve">“ </w:t>
      </w:r>
      <w:r>
        <w:rPr>
          <w:lang w:val="fr-FR"/>
        </w:rPr>
        <w:t>uv</w:t>
      </w:r>
      <w:proofErr w:type="spellStart"/>
      <w:r>
        <w:t>ádí</w:t>
      </w:r>
      <w:proofErr w:type="spellEnd"/>
      <w: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ARMEX ENERGY David </w:t>
      </w:r>
      <w:proofErr w:type="spellStart"/>
      <w:r>
        <w:rPr>
          <w:lang w:val="de-DE"/>
        </w:rPr>
        <w:t>Otoupal</w:t>
      </w:r>
      <w:r>
        <w:t>ík</w:t>
      </w:r>
      <w:proofErr w:type="spellEnd"/>
      <w:r>
        <w:t xml:space="preserve">, člen dozorčí rady. </w:t>
      </w:r>
    </w:p>
    <w:p w14:paraId="393758EE" w14:textId="77777777" w:rsidR="008452BD" w:rsidRDefault="008452BD" w:rsidP="008452BD"/>
    <w:p w14:paraId="1B5B7423" w14:textId="77777777" w:rsidR="008452BD" w:rsidRDefault="008452BD" w:rsidP="008452BD">
      <w:r>
        <w:rPr>
          <w:lang w:val="es-ES_tradnl"/>
        </w:rPr>
        <w:t>ARMEX ENERGY letos ji</w:t>
      </w:r>
      <w:r>
        <w:t xml:space="preserve">ž několikrát snižoval ceny obou komodit a v </w:t>
      </w:r>
      <w:proofErr w:type="spellStart"/>
      <w:r>
        <w:t>současn</w:t>
      </w:r>
      <w:proofErr w:type="spellEnd"/>
      <w:r>
        <w:rPr>
          <w:lang w:val="fr-FR"/>
        </w:rPr>
        <w:t xml:space="preserve">é </w:t>
      </w:r>
      <w:r>
        <w:t xml:space="preserve">době je nabízí hluboko pod vládními stropy. „Chceme našim zákazníkům ulehčit od výdajů </w:t>
      </w:r>
      <w:r>
        <w:rPr>
          <w:lang w:val="it-IT"/>
        </w:rPr>
        <w:t>za energie a p</w:t>
      </w:r>
      <w:proofErr w:type="spellStart"/>
      <w:r>
        <w:t>řin</w:t>
      </w:r>
      <w:proofErr w:type="spellEnd"/>
      <w:r>
        <w:rPr>
          <w:lang w:val="fr-FR"/>
        </w:rPr>
        <w:t>é</w:t>
      </w:r>
      <w:r>
        <w:t>st tak společně s čištěním zdarma výraznou úsporu do rodinných rozpočtů. Ta se pohybuje ve vysokých tisících korun ročně a roste se spotřebou domácnosti,</w:t>
      </w:r>
      <w:r>
        <w:rPr>
          <w:lang w:val="de-DE"/>
        </w:rPr>
        <w:t xml:space="preserve">“ </w:t>
      </w:r>
      <w:r>
        <w:t>dodává Zdeněk Mráz, obchodní ř</w:t>
      </w:r>
      <w:proofErr w:type="spellStart"/>
      <w:r>
        <w:rPr>
          <w:lang w:val="de-DE"/>
        </w:rPr>
        <w:t>editel</w:t>
      </w:r>
      <w:proofErr w:type="spellEnd"/>
      <w:r>
        <w:rPr>
          <w:lang w:val="de-DE"/>
        </w:rPr>
        <w:t xml:space="preserve"> ARMEX ENERGY. </w:t>
      </w:r>
      <w:r>
        <w:t>Čištění zdarma pak přináší úsporu další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1 500 K</w:t>
      </w:r>
      <w:r>
        <w:t>č.</w:t>
      </w:r>
    </w:p>
    <w:p w14:paraId="1E8315BE" w14:textId="77777777" w:rsidR="008452BD" w:rsidRDefault="008452BD" w:rsidP="008452BD"/>
    <w:p w14:paraId="25E5E840" w14:textId="77777777" w:rsidR="008452BD" w:rsidRDefault="008452BD" w:rsidP="008452B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Nepodceňujte kontrolu komínu, hrozí riziko požáru</w:t>
      </w:r>
    </w:p>
    <w:p w14:paraId="000BAB02" w14:textId="77777777" w:rsidR="008452BD" w:rsidRDefault="008452BD" w:rsidP="008452BD"/>
    <w:p w14:paraId="5AAC1157" w14:textId="77777777" w:rsidR="008452BD" w:rsidRDefault="008452BD" w:rsidP="008452BD">
      <w:r>
        <w:t xml:space="preserve">Stav spalinových cest se rozhodně vyplatí sledovat. Ročně čelí mnoho českých domácností tragickým požárům, přičemž </w:t>
      </w:r>
      <w:proofErr w:type="spellStart"/>
      <w:r>
        <w:t>mnoh</w:t>
      </w:r>
      <w:proofErr w:type="spellEnd"/>
      <w:r>
        <w:rPr>
          <w:lang w:val="fr-FR"/>
        </w:rPr>
        <w:t xml:space="preserve">é </w:t>
      </w:r>
      <w:r>
        <w:rPr>
          <w:lang w:val="de-DE"/>
        </w:rPr>
        <w:t xml:space="preserve">z </w:t>
      </w:r>
      <w:proofErr w:type="spellStart"/>
      <w:r>
        <w:rPr>
          <w:lang w:val="de-DE"/>
        </w:rPr>
        <w:t>nich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maj</w:t>
      </w:r>
      <w:proofErr w:type="spellEnd"/>
      <w:r>
        <w:t xml:space="preserve">í původ právě v </w:t>
      </w:r>
      <w:proofErr w:type="spellStart"/>
      <w:r>
        <w:t>nezkontrolovan</w:t>
      </w:r>
      <w:proofErr w:type="spellEnd"/>
      <w:r>
        <w:rPr>
          <w:lang w:val="fr-FR"/>
        </w:rPr>
        <w:t>é</w:t>
      </w:r>
      <w:r>
        <w:t xml:space="preserve">m komínu. „Zanedbat kontrolu může mít fatální následky nejen pro váš majetek, ale co je důležitější, i pro životy a zdraví </w:t>
      </w:r>
      <w:proofErr w:type="spellStart"/>
      <w:r>
        <w:t>vaš</w:t>
      </w:r>
      <w:proofErr w:type="spellEnd"/>
      <w:r>
        <w:rPr>
          <w:lang w:val="de-DE"/>
        </w:rPr>
        <w:t xml:space="preserve">ich </w:t>
      </w:r>
      <w:proofErr w:type="spellStart"/>
      <w:r>
        <w:rPr>
          <w:lang w:val="de-DE"/>
        </w:rPr>
        <w:t>bl</w:t>
      </w:r>
      <w:r>
        <w:t>ízkých</w:t>
      </w:r>
      <w:proofErr w:type="spellEnd"/>
      <w:r>
        <w:t xml:space="preserve">. Navíc, v případě požáru může pojišťovna odmítnout </w:t>
      </w:r>
      <w:proofErr w:type="spellStart"/>
      <w:r>
        <w:t>pojistn</w:t>
      </w:r>
      <w:proofErr w:type="spellEnd"/>
      <w:r>
        <w:rPr>
          <w:lang w:val="fr-FR"/>
        </w:rPr>
        <w:t xml:space="preserve">é </w:t>
      </w:r>
      <w:r>
        <w:t xml:space="preserve">plnění, pokud nebyla provedena řádná roční kontrola </w:t>
      </w:r>
      <w:proofErr w:type="spellStart"/>
      <w:r>
        <w:t>spalinov</w:t>
      </w:r>
      <w:proofErr w:type="spellEnd"/>
      <w:r>
        <w:rPr>
          <w:lang w:val="fr-FR"/>
        </w:rPr>
        <w:t xml:space="preserve">é </w:t>
      </w:r>
      <w:r>
        <w:t>cesty,</w:t>
      </w:r>
      <w:r>
        <w:rPr>
          <w:lang w:val="de-DE"/>
        </w:rPr>
        <w:t xml:space="preserve">“ </w:t>
      </w:r>
      <w:r>
        <w:t xml:space="preserve">vysvětluje Jakub Březina ze společnosti CUP Kominictví. „Pokud jde vše hladce, trvá celý </w:t>
      </w:r>
      <w:r>
        <w:rPr>
          <w:lang w:val="fr-FR"/>
        </w:rPr>
        <w:t xml:space="preserve">proces </w:t>
      </w:r>
      <w:r>
        <w:t>čištění kolem 45 minut a díky ARMEX ENERGY jej teď můžete získat zdarma.</w:t>
      </w:r>
      <w:r>
        <w:rPr>
          <w:lang w:val="de-DE"/>
        </w:rPr>
        <w:t xml:space="preserve">“ </w:t>
      </w:r>
      <w:hyperlink r:id="rId12" w:history="1">
        <w:r>
          <w:rPr>
            <w:rStyle w:val="Hyperlink0"/>
          </w:rPr>
          <w:t>Přechodem k ARMEX ENERGY</w:t>
        </w:r>
      </w:hyperlink>
      <w:r>
        <w:t xml:space="preserve"> tak zákazník </w:t>
      </w:r>
      <w:proofErr w:type="gramStart"/>
      <w:r>
        <w:t>ušetří</w:t>
      </w:r>
      <w:proofErr w:type="gramEnd"/>
      <w:r>
        <w:t xml:space="preserve"> jak za energie, tak i za čištění komínu. </w:t>
      </w:r>
    </w:p>
    <w:p w14:paraId="1622177E" w14:textId="77777777" w:rsidR="008452BD" w:rsidRDefault="008452BD" w:rsidP="008452BD"/>
    <w:p w14:paraId="34EBF891" w14:textId="77777777" w:rsidR="008452BD" w:rsidRDefault="008452BD" w:rsidP="008452BD">
      <w:proofErr w:type="spellStart"/>
      <w:r>
        <w:t>Společ</w:t>
      </w:r>
      <w:r>
        <w:rPr>
          <w:lang w:val="de-DE"/>
        </w:rPr>
        <w:t>nost</w:t>
      </w:r>
      <w:proofErr w:type="spellEnd"/>
      <w:r>
        <w:rPr>
          <w:lang w:val="de-DE"/>
        </w:rPr>
        <w:t xml:space="preserve"> ARMEX ENERGY je </w:t>
      </w:r>
      <w:proofErr w:type="spellStart"/>
      <w:r>
        <w:rPr>
          <w:lang w:val="de-DE"/>
        </w:rPr>
        <w:t>sou</w:t>
      </w:r>
      <w:proofErr w:type="spellEnd"/>
      <w:r>
        <w:t xml:space="preserve">částí úspěšné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skupiny ARMEX, která podniká v energetice, velkoobchodu, pohonných hmotách, provozu č</w:t>
      </w:r>
      <w:proofErr w:type="spellStart"/>
      <w:r>
        <w:rPr>
          <w:lang w:val="de-DE"/>
        </w:rPr>
        <w:t>erpac</w:t>
      </w:r>
      <w:r>
        <w:t>ích</w:t>
      </w:r>
      <w:proofErr w:type="spellEnd"/>
      <w:r>
        <w:t xml:space="preserve"> stanic a tak</w:t>
      </w:r>
      <w:r>
        <w:rPr>
          <w:lang w:val="fr-FR"/>
        </w:rPr>
        <w:t xml:space="preserve">é </w:t>
      </w:r>
      <w:r>
        <w:t>ve výstavbě vlastní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developersk</w:t>
      </w:r>
      <w:r>
        <w:t>ých</w:t>
      </w:r>
      <w:proofErr w:type="spellEnd"/>
      <w:r>
        <w:t xml:space="preserve"> projektů. Vlastní tak</w:t>
      </w:r>
      <w:r>
        <w:rPr>
          <w:lang w:val="fr-FR"/>
        </w:rPr>
        <w:t xml:space="preserve">é </w:t>
      </w:r>
      <w:r>
        <w:t xml:space="preserve">společnost CUP Kominictví, která je největším kominictvím v Česku s více než 50 000 zákazníky. </w:t>
      </w:r>
    </w:p>
    <w:p w14:paraId="61039002" w14:textId="4CF829A0" w:rsidR="00EC662B" w:rsidRPr="008452BD" w:rsidRDefault="00EC662B" w:rsidP="008452BD"/>
    <w:sectPr w:rsidR="00EC662B" w:rsidRPr="008452BD" w:rsidSect="00956F0C">
      <w:headerReference w:type="default" r:id="rId13"/>
      <w:footerReference w:type="default" r:id="rId14"/>
      <w:pgSz w:w="11906" w:h="16838" w:code="9"/>
      <w:pgMar w:top="397" w:right="567" w:bottom="397" w:left="567" w:header="130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9087" w14:textId="77777777" w:rsidR="00C44C77" w:rsidRDefault="00C44C77" w:rsidP="008E5D7A">
      <w:pPr>
        <w:spacing w:after="0" w:line="240" w:lineRule="auto"/>
      </w:pPr>
      <w:r>
        <w:separator/>
      </w:r>
    </w:p>
  </w:endnote>
  <w:endnote w:type="continuationSeparator" w:id="0">
    <w:p w14:paraId="1B89DC89" w14:textId="77777777" w:rsidR="00C44C77" w:rsidRDefault="00C44C77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1" w:name="_Hlk129864722"/>
    <w:bookmarkStart w:id="2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proofErr w:type="spellStart"/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</w:t>
    </w:r>
    <w:proofErr w:type="spellEnd"/>
    <w:r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589F" w14:textId="77777777" w:rsidR="00C44C77" w:rsidRDefault="00C44C77" w:rsidP="008E5D7A">
      <w:pPr>
        <w:spacing w:after="0" w:line="240" w:lineRule="auto"/>
      </w:pPr>
      <w:r>
        <w:separator/>
      </w:r>
    </w:p>
  </w:footnote>
  <w:footnote w:type="continuationSeparator" w:id="0">
    <w:p w14:paraId="689450ED" w14:textId="77777777" w:rsidR="00C44C77" w:rsidRDefault="00C44C77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72036559">
          <wp:simplePos x="0" y="0"/>
          <wp:positionH relativeFrom="column">
            <wp:posOffset>-230505</wp:posOffset>
          </wp:positionH>
          <wp:positionV relativeFrom="paragraph">
            <wp:posOffset>-703580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6EEE"/>
    <w:multiLevelType w:val="multilevel"/>
    <w:tmpl w:val="E7F4F7A2"/>
    <w:lvl w:ilvl="0">
      <w:start w:val="1"/>
      <w:numFmt w:val="bullet"/>
      <w:lvlText w:val="●"/>
      <w:lvlJc w:val="left"/>
      <w:pPr>
        <w:ind w:left="720" w:hanging="360"/>
      </w:pPr>
      <w:rPr>
        <w:color w:val="1E1E1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4438144">
    <w:abstractNumId w:val="0"/>
  </w:num>
  <w:num w:numId="2" w16cid:durableId="1554459081">
    <w:abstractNumId w:val="1"/>
  </w:num>
  <w:num w:numId="3" w16cid:durableId="62739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C3BCA"/>
    <w:rsid w:val="006331BF"/>
    <w:rsid w:val="006750DE"/>
    <w:rsid w:val="006A0FCF"/>
    <w:rsid w:val="006C367B"/>
    <w:rsid w:val="006D3A2D"/>
    <w:rsid w:val="00710FD4"/>
    <w:rsid w:val="00747C1C"/>
    <w:rsid w:val="007A02F4"/>
    <w:rsid w:val="00831159"/>
    <w:rsid w:val="008452BD"/>
    <w:rsid w:val="0086585E"/>
    <w:rsid w:val="0088306B"/>
    <w:rsid w:val="008B0B4A"/>
    <w:rsid w:val="008C682A"/>
    <w:rsid w:val="008D7062"/>
    <w:rsid w:val="008E5D7A"/>
    <w:rsid w:val="00930400"/>
    <w:rsid w:val="00956F0C"/>
    <w:rsid w:val="00990893"/>
    <w:rsid w:val="009D00CB"/>
    <w:rsid w:val="009D4158"/>
    <w:rsid w:val="00A31644"/>
    <w:rsid w:val="00A46CC9"/>
    <w:rsid w:val="00A52E09"/>
    <w:rsid w:val="00A5795C"/>
    <w:rsid w:val="00A73EF1"/>
    <w:rsid w:val="00AA5680"/>
    <w:rsid w:val="00B75A03"/>
    <w:rsid w:val="00B87875"/>
    <w:rsid w:val="00B904A1"/>
    <w:rsid w:val="00BC4039"/>
    <w:rsid w:val="00BC5C59"/>
    <w:rsid w:val="00BC6D2E"/>
    <w:rsid w:val="00C006DD"/>
    <w:rsid w:val="00C44C77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F0541D"/>
    <w:rsid w:val="00F70A8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956F0C"/>
    <w:pPr>
      <w:keepNext/>
      <w:keepLines/>
      <w:spacing w:before="400" w:after="120" w:line="276" w:lineRule="auto"/>
      <w:outlineLvl w:val="0"/>
    </w:pPr>
    <w:rPr>
      <w:rFonts w:eastAsia="Arial" w:cs="Arial"/>
      <w:sz w:val="40"/>
      <w:szCs w:val="40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56F0C"/>
    <w:rPr>
      <w:rFonts w:ascii="Arial" w:eastAsia="Arial" w:hAnsi="Arial" w:cs="Arial"/>
      <w:sz w:val="40"/>
      <w:szCs w:val="40"/>
      <w:lang w:val="cs" w:eastAsia="cs-CZ"/>
    </w:rPr>
  </w:style>
  <w:style w:type="paragraph" w:styleId="Nzev">
    <w:name w:val="Title"/>
    <w:next w:val="Normln"/>
    <w:link w:val="NzevChar"/>
    <w:uiPriority w:val="10"/>
    <w:qFormat/>
    <w:rsid w:val="008452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452BD"/>
    <w:rPr>
      <w:rFonts w:ascii="Arial" w:eastAsia="Arial Unicode MS" w:hAnsi="Arial" w:cs="Arial Unicode MS"/>
      <w:color w:val="000000"/>
      <w:sz w:val="52"/>
      <w:szCs w:val="52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8452BD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mexenergy.cz/ceny-padaji?utm_source=pr&amp;utm_medium=text&amp;utm_campaign=ceny-padaj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customXml/itemProps5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2</cp:revision>
  <cp:lastPrinted>2023-03-17T12:31:00Z</cp:lastPrinted>
  <dcterms:created xsi:type="dcterms:W3CDTF">2023-10-04T05:31:00Z</dcterms:created>
  <dcterms:modified xsi:type="dcterms:W3CDTF">2023-10-04T05:31:00Z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