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C083" w14:textId="28E51058" w:rsidR="00B904A1" w:rsidRDefault="00B904A1" w:rsidP="00525326">
      <w:pPr>
        <w:tabs>
          <w:tab w:val="left" w:pos="4752"/>
        </w:tabs>
      </w:pPr>
    </w:p>
    <w:p w14:paraId="7DBE4DE7" w14:textId="7CA05683" w:rsidR="00F70A84" w:rsidRPr="00F70A84" w:rsidRDefault="00F70A84" w:rsidP="00F70A84"/>
    <w:p w14:paraId="1293FA3B" w14:textId="3F08BEFE" w:rsidR="00F70A84" w:rsidRPr="00F70A84" w:rsidRDefault="00F70A84" w:rsidP="00F70A84"/>
    <w:p w14:paraId="632D24D0" w14:textId="67C1315C" w:rsidR="00FA6224" w:rsidRDefault="00026502" w:rsidP="00F70A84">
      <w:pPr>
        <w:rPr>
          <w:b/>
          <w:bCs/>
          <w:color w:val="1E396D"/>
        </w:rPr>
      </w:pPr>
      <w:r w:rsidRPr="00026502">
        <w:rPr>
          <w:b/>
          <w:bCs/>
          <w:color w:val="1E396D"/>
          <w:sz w:val="32"/>
          <w:szCs w:val="32"/>
        </w:rPr>
        <w:t>Fond ARMEX ENERGY v roce 2023 podpořil 33 žáků v cestě za vzděláním</w:t>
      </w:r>
    </w:p>
    <w:p w14:paraId="2C0FF93B" w14:textId="469FF408" w:rsidR="00FA6224" w:rsidRDefault="00026502" w:rsidP="00FA6224">
      <w:r>
        <w:t>04</w:t>
      </w:r>
      <w:r w:rsidR="00FA6224" w:rsidRPr="00FA6224">
        <w:t>.0</w:t>
      </w:r>
      <w:r>
        <w:t>7</w:t>
      </w:r>
      <w:r w:rsidR="00FA6224" w:rsidRPr="00FA6224">
        <w:t>.2023</w:t>
      </w:r>
    </w:p>
    <w:p w14:paraId="3B70FE30" w14:textId="77777777" w:rsidR="005906A8" w:rsidRPr="00FA6224" w:rsidRDefault="005906A8" w:rsidP="00FA6224"/>
    <w:p w14:paraId="1D46444C" w14:textId="63685C37" w:rsidR="00026502" w:rsidRPr="00026502" w:rsidRDefault="00026502" w:rsidP="00026502">
      <w:pPr>
        <w:jc w:val="both"/>
        <w:rPr>
          <w:b/>
          <w:bCs/>
        </w:rPr>
      </w:pPr>
      <w:r w:rsidRPr="00026502">
        <w:rPr>
          <w:b/>
          <w:bCs/>
        </w:rPr>
        <w:t xml:space="preserve">Společnost ARMEX ENERGY prostřednictvím svého dárcovského fondu každoročně podporuje znevýhodněné studenty v jejich vzdělávání. V rámci </w:t>
      </w:r>
      <w:r w:rsidR="005A74E4">
        <w:rPr>
          <w:b/>
          <w:bCs/>
        </w:rPr>
        <w:t xml:space="preserve">letošního již </w:t>
      </w:r>
      <w:r w:rsidRPr="00026502">
        <w:rPr>
          <w:b/>
          <w:bCs/>
        </w:rPr>
        <w:t xml:space="preserve">9. kola programu VZDĚLÁNÍ PRO VŠECHNY bylo podpořeno celkem 33 žádostí mladých lidí, kterým fond poskytl podporu v souhrnné výši 242 312 Kč. </w:t>
      </w:r>
    </w:p>
    <w:p w14:paraId="2BB6E7B6" w14:textId="10776109" w:rsidR="00026502" w:rsidRDefault="00026502" w:rsidP="00026502">
      <w:pPr>
        <w:jc w:val="both"/>
      </w:pPr>
      <w:r>
        <w:t xml:space="preserve">Z uvedené částky se jednalo o finanční příspěvky v hodnotě 194 500 Kč, na které se ARMEX ENERGY podílí částkou 150 000 Kč. Za </w:t>
      </w:r>
      <w:r w:rsidR="005A74E4">
        <w:t>zbylé</w:t>
      </w:r>
      <w:r>
        <w:t xml:space="preserve"> finanční prostředky děkujeme také společnosti JOTUN Czech a.s.</w:t>
      </w:r>
      <w:r w:rsidR="00AF17A4">
        <w:t>,</w:t>
      </w:r>
      <w:r>
        <w:t xml:space="preserve"> dárcovskému fondu Miroslava Dušánka při Ústecké komunitní nadaci</w:t>
      </w:r>
      <w:r w:rsidR="00AF17A4">
        <w:t xml:space="preserve"> a </w:t>
      </w:r>
      <w:r w:rsidR="00AF17A4">
        <w:t>firmě AZM CONSULT s.r.o</w:t>
      </w:r>
      <w:r>
        <w:t>. Za darování počítačové techniky v podobě 12 notebooků děkujeme společnostem ALZA. CZ a organizaci Člověk v tísni o.p.s.</w:t>
      </w:r>
    </w:p>
    <w:p w14:paraId="22E3EB43" w14:textId="50DF85F7" w:rsidR="00026502" w:rsidRDefault="00026502" w:rsidP="00026502">
      <w:pPr>
        <w:jc w:val="both"/>
      </w:pPr>
      <w:r w:rsidRPr="00026502">
        <w:rPr>
          <w:i/>
          <w:iCs/>
        </w:rPr>
        <w:t xml:space="preserve">„Jsme rádi, že v rámci fondu ARMEX ENERGY můžeme pomoci rozvíjet talent nadaných dětí, které kvůli </w:t>
      </w:r>
      <w:r w:rsidR="005A74E4">
        <w:rPr>
          <w:i/>
          <w:iCs/>
        </w:rPr>
        <w:t xml:space="preserve">ztíženým </w:t>
      </w:r>
      <w:r w:rsidRPr="00026502">
        <w:rPr>
          <w:i/>
          <w:iCs/>
        </w:rPr>
        <w:t xml:space="preserve">životním </w:t>
      </w:r>
      <w:r w:rsidR="005A74E4">
        <w:rPr>
          <w:i/>
          <w:iCs/>
        </w:rPr>
        <w:t xml:space="preserve">či rodinným </w:t>
      </w:r>
      <w:r w:rsidRPr="00026502">
        <w:rPr>
          <w:i/>
          <w:iCs/>
        </w:rPr>
        <w:t>podmínkám nemají stejnou startovací pozici, jako ostatní</w:t>
      </w:r>
      <w:r w:rsidR="005A74E4">
        <w:rPr>
          <w:i/>
          <w:iCs/>
        </w:rPr>
        <w:t>. Finanční prostředky</w:t>
      </w:r>
      <w:r w:rsidR="005A74E4" w:rsidRPr="005A74E4">
        <w:rPr>
          <w:i/>
          <w:iCs/>
        </w:rPr>
        <w:t xml:space="preserve"> </w:t>
      </w:r>
      <w:r w:rsidR="005A74E4">
        <w:rPr>
          <w:i/>
          <w:iCs/>
        </w:rPr>
        <w:t>mohou děti využít</w:t>
      </w:r>
      <w:r w:rsidR="005A74E4" w:rsidRPr="005A74E4">
        <w:rPr>
          <w:i/>
          <w:iCs/>
        </w:rPr>
        <w:t xml:space="preserve"> na úhradu učebních pomůcek, školních akcí</w:t>
      </w:r>
      <w:r w:rsidR="005A74E4">
        <w:rPr>
          <w:i/>
          <w:iCs/>
        </w:rPr>
        <w:t>, ale i zájmových kurzů,</w:t>
      </w:r>
      <w:r w:rsidRPr="00026502">
        <w:rPr>
          <w:i/>
          <w:iCs/>
        </w:rPr>
        <w:t>“</w:t>
      </w:r>
      <w:r w:rsidR="005A74E4">
        <w:t xml:space="preserve"> </w:t>
      </w:r>
      <w:r>
        <w:t xml:space="preserve">komentuje </w:t>
      </w:r>
      <w:r w:rsidR="005A74E4">
        <w:t>cíle fondu</w:t>
      </w:r>
      <w:r>
        <w:t xml:space="preserve"> Zdeněk Mráz, obchodní ředitel ARMEX ENERGY.</w:t>
      </w:r>
    </w:p>
    <w:p w14:paraId="61039002" w14:textId="1CC54162" w:rsidR="00EC662B" w:rsidRPr="00EC662B" w:rsidRDefault="00026502" w:rsidP="00026502">
      <w:pPr>
        <w:jc w:val="both"/>
      </w:pPr>
      <w:r>
        <w:t>Grantové kolo bylo určeno školou povinným dětem a studujícím mladým lidem do 25 let bydlících v Ústeckém kraji. Jednalo se o projekty fyzických osob, jejichž záměrem je umožnit dětem a mládeži, která díky své životní situaci nemá stejnou startovací pozici, optimálně rozvíjet své vzdělání, talent a osobní potenciál. Podpořené aktivity budou realizovány v období od 1. července 2023 do 30. června 2024.</w:t>
      </w:r>
      <w:r w:rsidR="00EC662B">
        <w:tab/>
      </w:r>
    </w:p>
    <w:sectPr w:rsidR="00EC662B" w:rsidRPr="00EC662B" w:rsidSect="00710FD4">
      <w:headerReference w:type="default" r:id="rId12"/>
      <w:footerReference w:type="default" r:id="rId13"/>
      <w:pgSz w:w="11906" w:h="16838" w:code="9"/>
      <w:pgMar w:top="397" w:right="567" w:bottom="397" w:left="567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21C2" w14:textId="77777777" w:rsidR="00D4584C" w:rsidRDefault="00D4584C" w:rsidP="008E5D7A">
      <w:pPr>
        <w:spacing w:after="0" w:line="240" w:lineRule="auto"/>
      </w:pPr>
      <w:r>
        <w:separator/>
      </w:r>
    </w:p>
  </w:endnote>
  <w:endnote w:type="continuationSeparator" w:id="0">
    <w:p w14:paraId="3C872754" w14:textId="77777777" w:rsidR="00D4584C" w:rsidRDefault="00D4584C" w:rsidP="008E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NextPro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 Next Pro bold">
    <w:panose1 w:val="020B0803030202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4DD" w14:textId="41D8D5AF" w:rsidR="00F70A84" w:rsidRDefault="00EC662B" w:rsidP="00F70A84">
    <w:pPr>
      <w:rPr>
        <w:rFonts w:ascii="UniversNextPro-Bold" w:hAnsi="UniversNextPro-Bold" w:cs="UniversNextPro-Bold"/>
        <w:b/>
        <w:bCs/>
        <w:color w:val="1E3A6E"/>
        <w:sz w:val="14"/>
        <w:szCs w:val="14"/>
      </w:rPr>
    </w:pPr>
    <w:bookmarkStart w:id="0" w:name="_Hlk129864722"/>
    <w:bookmarkStart w:id="1" w:name="_Hlk129864723"/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E16EDF" wp14:editId="2184206E">
              <wp:simplePos x="0" y="0"/>
              <wp:positionH relativeFrom="column">
                <wp:posOffset>0</wp:posOffset>
              </wp:positionH>
              <wp:positionV relativeFrom="paragraph">
                <wp:posOffset>199293</wp:posOffset>
              </wp:positionV>
              <wp:extent cx="1270819" cy="211455"/>
              <wp:effectExtent l="0" t="0" r="5715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19" cy="211455"/>
                      </a:xfrm>
                      <a:prstGeom prst="rect">
                        <a:avLst/>
                      </a:prstGeom>
                      <a:solidFill>
                        <a:srgbClr val="E20816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4FEC54" w14:textId="77777777" w:rsidR="00EC662B" w:rsidRPr="00EC662B" w:rsidRDefault="00EC662B" w:rsidP="00EC662B">
                          <w:pPr>
                            <w:jc w:val="center"/>
                            <w:rPr>
                              <w:rFonts w:ascii="Univers Next Pro bold" w:hAnsi="Univers Next Pro bold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EC662B">
                            <w:rPr>
                              <w:rFonts w:ascii="Univers Next Pro bold" w:hAnsi="Univers Next Pro bold"/>
                              <w:color w:val="FFFFFF" w:themeColor="background1"/>
                              <w:sz w:val="15"/>
                              <w:szCs w:val="15"/>
                            </w:rPr>
                            <w:t>www.armexenergy.cz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16ED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15.7pt;width:100.0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" fillcolor="#e20816" stroked="f" strokeweight=".5pt">
              <v:textbox>
                <w:txbxContent>
                  <w:p w14:paraId="314FEC54" w14:textId="77777777" w:rsidR="00EC662B" w:rsidRPr="00EC662B" w:rsidRDefault="00EC662B" w:rsidP="00EC662B">
                    <w:pPr>
                      <w:jc w:val="center"/>
                      <w:rPr>
                        <w:rFonts w:ascii="Univers Next Pro bold" w:hAnsi="Univers Next Pro bold"/>
                        <w:color w:val="FFFFFF" w:themeColor="background1"/>
                        <w:sz w:val="15"/>
                        <w:szCs w:val="15"/>
                      </w:rPr>
                    </w:pPr>
                    <w:r w:rsidRPr="00EC662B">
                      <w:rPr>
                        <w:rFonts w:ascii="Univers Next Pro bold" w:hAnsi="Univers Next Pro bold"/>
                        <w:color w:val="FFFFFF" w:themeColor="background1"/>
                        <w:sz w:val="15"/>
                        <w:szCs w:val="15"/>
                      </w:rPr>
                      <w:t>www.armexenergy.cz</w:t>
                    </w:r>
                  </w:p>
                </w:txbxContent>
              </v:textbox>
            </v:shape>
          </w:pict>
        </mc:Fallback>
      </mc:AlternateContent>
    </w:r>
  </w:p>
  <w:p w14:paraId="7E6B6C8B" w14:textId="368A6CEC" w:rsidR="00F70A84" w:rsidRDefault="00EC662B" w:rsidP="00F70A84">
    <w:pPr>
      <w:rPr>
        <w:rFonts w:ascii="UniversNextPro-Bold" w:hAnsi="UniversNextPro-Bold" w:cs="UniversNextPro-Bold"/>
        <w:b/>
        <w:bCs/>
        <w:color w:val="1E3A6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459B27" wp14:editId="71E4B986">
              <wp:simplePos x="0" y="0"/>
              <wp:positionH relativeFrom="column">
                <wp:posOffset>3175</wp:posOffset>
              </wp:positionH>
              <wp:positionV relativeFrom="paragraph">
                <wp:posOffset>184238</wp:posOffset>
              </wp:positionV>
              <wp:extent cx="678724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724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208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B034616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4.5pt" to="534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" strokecolor="#e20816" strokeweight="1.5pt">
              <v:stroke joinstyle="miter"/>
            </v:line>
          </w:pict>
        </mc:Fallback>
      </mc:AlternateContent>
    </w:r>
  </w:p>
  <w:p w14:paraId="52B1C0C8" w14:textId="3DFDDC88" w:rsidR="002557CC" w:rsidRPr="002557CC" w:rsidRDefault="00F70A84" w:rsidP="002557CC">
    <w:pPr>
      <w:rPr>
        <w:rFonts w:ascii="UniversNextPro-Bold" w:hAnsi="UniversNextPro-Bold" w:cs="UniversNextPro-Bold"/>
        <w:color w:val="1E3A6E"/>
        <w:sz w:val="14"/>
        <w:szCs w:val="14"/>
      </w:rPr>
    </w:pPr>
    <w:r w:rsidRPr="00F70A8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28610A" wp14:editId="5F1F9100">
              <wp:simplePos x="0" y="0"/>
              <wp:positionH relativeFrom="column">
                <wp:posOffset>-892628</wp:posOffset>
              </wp:positionH>
              <wp:positionV relativeFrom="paragraph">
                <wp:posOffset>-918664</wp:posOffset>
              </wp:positionV>
              <wp:extent cx="388620" cy="10043160"/>
              <wp:effectExtent l="0" t="0" r="11430" b="15240"/>
              <wp:wrapNone/>
              <wp:docPr id="12" name="Obdélní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" cy="100431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7E9CC91" id="Obdélník 12" o:spid="_x0000_s1026" style="position:absolute;margin-left:-70.3pt;margin-top:-72.35pt;width:30.6pt;height:790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" fillcolor="#5b9bd5 [3204]" strokecolor="#1f4d78 [1604]" strokeweight="1pt"/>
          </w:pict>
        </mc:Fallback>
      </mc:AlternateContent>
    </w:r>
    <w:r w:rsidRPr="00F70A84">
      <w:rPr>
        <w:rFonts w:ascii="UniversNextPro-Bold" w:hAnsi="UniversNextPro-Bold" w:cs="UniversNextPro-Bold"/>
        <w:b/>
        <w:bCs/>
        <w:color w:val="1E3A6E"/>
        <w:sz w:val="14"/>
        <w:szCs w:val="14"/>
      </w:rPr>
      <w:t>ARMEX ENERGY a.s.</w:t>
    </w:r>
    <w:r w:rsidR="002748DE">
      <w:rPr>
        <w:rFonts w:ascii="UniversNextPro-Bold" w:hAnsi="UniversNextPro-Bold" w:cs="UniversNextPro-Bold"/>
        <w:b/>
        <w:bCs/>
        <w:color w:val="1E3A6E"/>
        <w:sz w:val="14"/>
        <w:szCs w:val="14"/>
      </w:rPr>
      <w:tab/>
    </w:r>
    <w:r w:rsidR="002748DE">
      <w:rPr>
        <w:rFonts w:ascii="UniversNextPro-Bold" w:hAnsi="UniversNextPro-Bold" w:cs="UniversNextPro-Bold"/>
        <w:b/>
        <w:bCs/>
        <w:color w:val="1E3A6E"/>
        <w:sz w:val="14"/>
        <w:szCs w:val="14"/>
      </w:rPr>
      <w:tab/>
    </w:r>
    <w:r w:rsidR="002748DE">
      <w:rPr>
        <w:rFonts w:ascii="UniversNextPro-Bold" w:hAnsi="UniversNextPro-Bold" w:cs="UniversNextPro-Bold"/>
        <w:b/>
        <w:bCs/>
        <w:color w:val="1E3A6E"/>
        <w:sz w:val="14"/>
        <w:szCs w:val="14"/>
      </w:rPr>
      <w:tab/>
    </w:r>
    <w:r w:rsidRPr="00F70A84">
      <w:rPr>
        <w:rFonts w:ascii="UniversNextPro-Bold" w:hAnsi="UniversNextPro-Bold" w:cs="UniversNextPro-Bold"/>
        <w:color w:val="1E3A6E"/>
        <w:sz w:val="14"/>
        <w:szCs w:val="14"/>
      </w:rPr>
      <w:t>IČ: 272 66</w:t>
    </w:r>
    <w:r>
      <w:rPr>
        <w:rFonts w:ascii="UniversNextPro-Bold" w:hAnsi="UniversNextPro-Bold" w:cs="UniversNextPro-Bold"/>
        <w:color w:val="1E3A6E"/>
        <w:sz w:val="14"/>
        <w:szCs w:val="14"/>
      </w:rPr>
      <w:t> </w:t>
    </w:r>
    <w:r w:rsidRPr="00F70A84">
      <w:rPr>
        <w:rFonts w:ascii="UniversNextPro-Bold" w:hAnsi="UniversNextPro-Bold" w:cs="UniversNextPro-Bold"/>
        <w:color w:val="1E3A6E"/>
        <w:sz w:val="14"/>
        <w:szCs w:val="14"/>
      </w:rPr>
      <w:t>141</w:t>
    </w:r>
    <w:r>
      <w:rPr>
        <w:rFonts w:ascii="UniversNextPro-Bold" w:hAnsi="UniversNextPro-Bold" w:cs="UniversNextPro-Bold"/>
        <w:color w:val="1E3A6E"/>
        <w:sz w:val="14"/>
        <w:szCs w:val="14"/>
      </w:rPr>
      <w:t xml:space="preserve">                       </w:t>
    </w:r>
    <w:r w:rsidR="003D2D58">
      <w:rPr>
        <w:rFonts w:ascii="UniversNextPro-Bold" w:hAnsi="UniversNextPro-Bold" w:cs="UniversNextPro-Bold"/>
        <w:color w:val="1E3A6E"/>
        <w:sz w:val="14"/>
        <w:szCs w:val="14"/>
      </w:rPr>
      <w:t xml:space="preserve">    </w:t>
    </w:r>
    <w:r>
      <w:rPr>
        <w:rFonts w:ascii="UniversNextPro-Bold" w:hAnsi="UniversNextPro-Bold" w:cs="UniversNextPro-Bold"/>
        <w:color w:val="1E3A6E"/>
        <w:sz w:val="14"/>
        <w:szCs w:val="14"/>
      </w:rPr>
      <w:t xml:space="preserve">    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Zákaznická linka: 412 154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> 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15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>4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ab/>
      <w:t xml:space="preserve">          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Společnost zapsána v obchodním rejstříku vedeném</w:t>
    </w:r>
    <w:r w:rsidRPr="00710FD4">
      <w:rPr>
        <w:color w:val="1E3A6E"/>
      </w:rPr>
      <w:br/>
    </w:r>
    <w:proofErr w:type="spellStart"/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>F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olknářská</w:t>
    </w:r>
    <w:proofErr w:type="spellEnd"/>
    <w:r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1246/21, 405 02 Děčín</w:t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DIČ: CZ 272 66</w:t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> 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141</w:t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="00405F77"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  </w:t>
    </w:r>
    <w:r w:rsidR="00405F77"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       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E-mail: energy@armexenergy.c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>z</w:t>
    </w:r>
    <w:r w:rsidR="003D2D58">
      <w:rPr>
        <w:rFonts w:ascii="UniversNextPro-Bold" w:hAnsi="UniversNextPro-Bold" w:cs="UniversNextPro-Bold"/>
        <w:color w:val="1E3A6E"/>
        <w:sz w:val="14"/>
        <w:szCs w:val="14"/>
      </w:rPr>
      <w:tab/>
      <w:t xml:space="preserve">          </w:t>
    </w:r>
    <w:r w:rsidRPr="00F70A84">
      <w:rPr>
        <w:rFonts w:ascii="UniversNextPro-Bold" w:hAnsi="UniversNextPro-Bold" w:cs="UniversNextPro-Bold"/>
        <w:color w:val="1E3A6E"/>
        <w:sz w:val="14"/>
        <w:szCs w:val="14"/>
      </w:rPr>
      <w:t>Krajským soudem v Ústí nad Labem, oddíl B, vložka 160</w:t>
    </w:r>
    <w:r w:rsidR="003D2D58">
      <w:rPr>
        <w:rFonts w:ascii="UniversNextPro-Bold" w:hAnsi="UniversNextPro-Bold" w:cs="UniversNextPro-Bold"/>
        <w:color w:val="1E3A6E"/>
        <w:sz w:val="14"/>
        <w:szCs w:val="14"/>
      </w:rPr>
      <w:t>2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6F6E" w14:textId="77777777" w:rsidR="00D4584C" w:rsidRDefault="00D4584C" w:rsidP="008E5D7A">
      <w:pPr>
        <w:spacing w:after="0" w:line="240" w:lineRule="auto"/>
      </w:pPr>
      <w:r>
        <w:separator/>
      </w:r>
    </w:p>
  </w:footnote>
  <w:footnote w:type="continuationSeparator" w:id="0">
    <w:p w14:paraId="6983D996" w14:textId="77777777" w:rsidR="00D4584C" w:rsidRDefault="00D4584C" w:rsidP="008E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4D6C" w14:textId="5C451AE8" w:rsidR="008E5D7A" w:rsidRPr="00273574" w:rsidRDefault="00114C21" w:rsidP="00E927DB">
    <w:pPr>
      <w:pStyle w:val="Zhlav"/>
    </w:pPr>
    <w:r w:rsidRPr="002810F9">
      <w:rPr>
        <w:noProof/>
      </w:rPr>
      <w:drawing>
        <wp:anchor distT="0" distB="0" distL="114300" distR="114300" simplePos="0" relativeHeight="251659263" behindDoc="0" locked="0" layoutInCell="1" allowOverlap="1" wp14:anchorId="0FA64ED2" wp14:editId="296D337C">
          <wp:simplePos x="0" y="0"/>
          <wp:positionH relativeFrom="column">
            <wp:posOffset>-262255</wp:posOffset>
          </wp:positionH>
          <wp:positionV relativeFrom="paragraph">
            <wp:posOffset>-265853</wp:posOffset>
          </wp:positionV>
          <wp:extent cx="2768600" cy="791376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79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ADB"/>
    <w:multiLevelType w:val="hybridMultilevel"/>
    <w:tmpl w:val="B4360302"/>
    <w:lvl w:ilvl="0" w:tplc="89E83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1A27"/>
    <w:multiLevelType w:val="hybridMultilevel"/>
    <w:tmpl w:val="1354DBDA"/>
    <w:lvl w:ilvl="0" w:tplc="9AC2A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38144">
    <w:abstractNumId w:val="0"/>
  </w:num>
  <w:num w:numId="2" w16cid:durableId="155445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7A"/>
    <w:rsid w:val="00026502"/>
    <w:rsid w:val="00035B82"/>
    <w:rsid w:val="00046A62"/>
    <w:rsid w:val="00070822"/>
    <w:rsid w:val="00093F1B"/>
    <w:rsid w:val="000956F2"/>
    <w:rsid w:val="000B5291"/>
    <w:rsid w:val="000F30A8"/>
    <w:rsid w:val="00100751"/>
    <w:rsid w:val="00107DDE"/>
    <w:rsid w:val="00114C21"/>
    <w:rsid w:val="00144CF5"/>
    <w:rsid w:val="001B008C"/>
    <w:rsid w:val="001D64C6"/>
    <w:rsid w:val="002557CC"/>
    <w:rsid w:val="00273574"/>
    <w:rsid w:val="002748DE"/>
    <w:rsid w:val="002810F9"/>
    <w:rsid w:val="002A566C"/>
    <w:rsid w:val="002C4BF1"/>
    <w:rsid w:val="00345FE9"/>
    <w:rsid w:val="00364D7D"/>
    <w:rsid w:val="00387D0F"/>
    <w:rsid w:val="003927EF"/>
    <w:rsid w:val="003B1119"/>
    <w:rsid w:val="003C6B5F"/>
    <w:rsid w:val="003D2D58"/>
    <w:rsid w:val="00405F77"/>
    <w:rsid w:val="00406D7C"/>
    <w:rsid w:val="00450678"/>
    <w:rsid w:val="0048260F"/>
    <w:rsid w:val="00484F70"/>
    <w:rsid w:val="0049506F"/>
    <w:rsid w:val="00496DAB"/>
    <w:rsid w:val="004A2BC1"/>
    <w:rsid w:val="004B2F04"/>
    <w:rsid w:val="005057D2"/>
    <w:rsid w:val="00525326"/>
    <w:rsid w:val="00563A52"/>
    <w:rsid w:val="005906A8"/>
    <w:rsid w:val="005A74E4"/>
    <w:rsid w:val="005C3BCA"/>
    <w:rsid w:val="006331BF"/>
    <w:rsid w:val="006750DE"/>
    <w:rsid w:val="006A0FCF"/>
    <w:rsid w:val="006A4E31"/>
    <w:rsid w:val="006C367B"/>
    <w:rsid w:val="006D3A2D"/>
    <w:rsid w:val="00710FD4"/>
    <w:rsid w:val="00747C1C"/>
    <w:rsid w:val="007A02F4"/>
    <w:rsid w:val="00831159"/>
    <w:rsid w:val="0086585E"/>
    <w:rsid w:val="0088306B"/>
    <w:rsid w:val="008B0B4A"/>
    <w:rsid w:val="008C682A"/>
    <w:rsid w:val="008E5D7A"/>
    <w:rsid w:val="00930400"/>
    <w:rsid w:val="00990893"/>
    <w:rsid w:val="009D00CB"/>
    <w:rsid w:val="009D4158"/>
    <w:rsid w:val="009E53D9"/>
    <w:rsid w:val="00A31644"/>
    <w:rsid w:val="00A46CC9"/>
    <w:rsid w:val="00A52E09"/>
    <w:rsid w:val="00A5795C"/>
    <w:rsid w:val="00A73EF1"/>
    <w:rsid w:val="00AA5680"/>
    <w:rsid w:val="00AF17A4"/>
    <w:rsid w:val="00B75A03"/>
    <w:rsid w:val="00B87875"/>
    <w:rsid w:val="00B904A1"/>
    <w:rsid w:val="00BC4039"/>
    <w:rsid w:val="00BC5C59"/>
    <w:rsid w:val="00BC6D2E"/>
    <w:rsid w:val="00C006DD"/>
    <w:rsid w:val="00C80F99"/>
    <w:rsid w:val="00D10B8E"/>
    <w:rsid w:val="00D24971"/>
    <w:rsid w:val="00D4584C"/>
    <w:rsid w:val="00DB17AD"/>
    <w:rsid w:val="00DD145B"/>
    <w:rsid w:val="00E04F4A"/>
    <w:rsid w:val="00E37A2F"/>
    <w:rsid w:val="00E927DB"/>
    <w:rsid w:val="00E97C2C"/>
    <w:rsid w:val="00EA789D"/>
    <w:rsid w:val="00EC662B"/>
    <w:rsid w:val="00EE0B55"/>
    <w:rsid w:val="00F0541D"/>
    <w:rsid w:val="00F70A84"/>
    <w:rsid w:val="00FA6224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AFA05"/>
  <w15:docId w15:val="{3A59CB13-FEB1-4F03-8BC5-F4CAC624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C5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D7A"/>
  </w:style>
  <w:style w:type="paragraph" w:styleId="Zpat">
    <w:name w:val="footer"/>
    <w:basedOn w:val="Normln"/>
    <w:link w:val="ZpatChar"/>
    <w:uiPriority w:val="99"/>
    <w:unhideWhenUsed/>
    <w:rsid w:val="008E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D7A"/>
  </w:style>
  <w:style w:type="character" w:styleId="Siln">
    <w:name w:val="Strong"/>
    <w:basedOn w:val="Standardnpsmoodstavce"/>
    <w:uiPriority w:val="22"/>
    <w:qFormat/>
    <w:rsid w:val="00BC5C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00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0A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0108b3-1955-4063-9738-ee5ed40f48c0">VQUVMUTHWSWQ-45821509-3349</_dlc_DocId>
    <_dlc_DocIdUrl xmlns="cf0108b3-1955-4063-9738-ee5ed40f48c0">
      <Url>https://armexenergy.sharepoint.com/sites/ridici_dokumentace_ae/_layouts/15/DocIdRedir.aspx?ID=VQUVMUTHWSWQ-45821509-3349</Url>
      <Description>VQUVMUTHWSWQ-45821509-3349</Description>
    </_dlc_DocIdUrl>
    <_x0074_j78 xmlns="f13306b1-731a-4961-9320-e4e0479fde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B90EC0AEA4F44ADD3732E2180D57B" ma:contentTypeVersion="12" ma:contentTypeDescription="Create a new document." ma:contentTypeScope="" ma:versionID="7e379dc5f6eaaef035007f5e59b9f029">
  <xsd:schema xmlns:xsd="http://www.w3.org/2001/XMLSchema" xmlns:xs="http://www.w3.org/2001/XMLSchema" xmlns:p="http://schemas.microsoft.com/office/2006/metadata/properties" xmlns:ns2="cf0108b3-1955-4063-9738-ee5ed40f48c0" xmlns:ns3="f13306b1-731a-4961-9320-e4e0479fded5" targetNamespace="http://schemas.microsoft.com/office/2006/metadata/properties" ma:root="true" ma:fieldsID="14b7aa7fd1bf2dee8f13560a7fe98abc" ns2:_="" ns3:_="">
    <xsd:import namespace="cf0108b3-1955-4063-9738-ee5ed40f48c0"/>
    <xsd:import namespace="f13306b1-731a-4961-9320-e4e0479fd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x0074_j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108b3-1955-4063-9738-ee5ed40f48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06b1-731a-4961-9320-e4e0479fd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_x0074_j78" ma:index="22" nillable="true" ma:displayName="Datum a čas" ma:internalName="_x0074_j78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DA319-F0DA-4BB5-BEF0-4155AD1D5B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9077D2-7E8E-4BBE-9215-4B5583F38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DB407-495F-4961-9C02-E77C497DD269}">
  <ds:schemaRefs>
    <ds:schemaRef ds:uri="http://schemas.microsoft.com/office/2006/metadata/properties"/>
    <ds:schemaRef ds:uri="http://schemas.microsoft.com/office/infopath/2007/PartnerControls"/>
    <ds:schemaRef ds:uri="cf0108b3-1955-4063-9738-ee5ed40f48c0"/>
    <ds:schemaRef ds:uri="f13306b1-731a-4961-9320-e4e0479fded5"/>
  </ds:schemaRefs>
</ds:datastoreItem>
</file>

<file path=customXml/itemProps4.xml><?xml version="1.0" encoding="utf-8"?>
<ds:datastoreItem xmlns:ds="http://schemas.openxmlformats.org/officeDocument/2006/customXml" ds:itemID="{921512B3-7F27-4D67-A320-A094628835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2D789C-66B6-4469-958E-B52C14D95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108b3-1955-4063-9738-ee5ed40f48c0"/>
    <ds:schemaRef ds:uri="f13306b1-731a-4961-9320-e4e0479fd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Ludvík</dc:creator>
  <cp:lastModifiedBy>Pernica Jakub</cp:lastModifiedBy>
  <cp:revision>4</cp:revision>
  <cp:lastPrinted>2023-03-17T12:31:00Z</cp:lastPrinted>
  <dcterms:created xsi:type="dcterms:W3CDTF">2023-07-03T14:43:00Z</dcterms:created>
  <dcterms:modified xsi:type="dcterms:W3CDTF">2023-07-13T07:26:00Z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0x010100898B90EC0AEA4F44ADD3732E2180D57B</vt:lpwstr>
  </property>
  <property fmtid="{D5CDD505-2E9C-101B-9397-08002B2CF9AE}" pid="3" name="_dlc_DocIdItemGuid">
    <vt:lpwstr>813a8144-a385-4cda-9965-368cd7ae8627</vt:lpwstr>
  </property>
</Properties>
</file>