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632D24D0" w14:textId="0B64E439" w:rsidR="00FA6224" w:rsidRDefault="001E6A2E" w:rsidP="00FE7181">
      <w:pPr>
        <w:rPr>
          <w:b/>
          <w:bCs/>
          <w:color w:val="1E396D"/>
        </w:rPr>
      </w:pPr>
      <w:r w:rsidRPr="001E6A2E">
        <w:rPr>
          <w:b/>
          <w:bCs/>
          <w:color w:val="1E396D"/>
          <w:sz w:val="32"/>
          <w:szCs w:val="32"/>
        </w:rPr>
        <w:t>Dodavatel ARMEX ENERGY má za sebou úspěšný rok. Rostl v počtu odběratelů elektřiny i plynu</w:t>
      </w:r>
    </w:p>
    <w:p w14:paraId="2C0FF93B" w14:textId="684EE857" w:rsidR="00FA6224" w:rsidRPr="00FA6224" w:rsidRDefault="001E6A2E" w:rsidP="00FA6224">
      <w:r>
        <w:t>20</w:t>
      </w:r>
      <w:r w:rsidR="00FA6224" w:rsidRPr="00FA6224">
        <w:t>.</w:t>
      </w:r>
      <w:r>
        <w:t>02</w:t>
      </w:r>
      <w:r w:rsidR="00FA6224" w:rsidRPr="00FA6224">
        <w:t>.2023</w:t>
      </w:r>
    </w:p>
    <w:p w14:paraId="4BDE7395" w14:textId="77777777" w:rsidR="001E6A2E" w:rsidRDefault="001E6A2E" w:rsidP="00F70A84">
      <w:pPr>
        <w:rPr>
          <w:b/>
          <w:bCs/>
          <w:color w:val="1E396D"/>
          <w:sz w:val="24"/>
          <w:szCs w:val="24"/>
        </w:rPr>
      </w:pPr>
    </w:p>
    <w:p w14:paraId="056E5B32" w14:textId="29480B18" w:rsidR="00F70A84" w:rsidRDefault="001E6A2E" w:rsidP="00F70A84">
      <w:pPr>
        <w:rPr>
          <w:b/>
          <w:bCs/>
          <w:color w:val="1E396D"/>
          <w:sz w:val="24"/>
          <w:szCs w:val="24"/>
        </w:rPr>
      </w:pPr>
      <w:r w:rsidRPr="001E6A2E">
        <w:rPr>
          <w:b/>
          <w:bCs/>
          <w:color w:val="1E396D"/>
          <w:sz w:val="24"/>
          <w:szCs w:val="24"/>
        </w:rPr>
        <w:t>V roce 2022 dodavatele změnily stovky tisíc lidí</w:t>
      </w:r>
    </w:p>
    <w:p w14:paraId="645CD658" w14:textId="4F50F419" w:rsidR="001E6A2E" w:rsidRPr="001E6A2E" w:rsidRDefault="001E6A2E" w:rsidP="001E6A2E">
      <w:pPr>
        <w:jc w:val="both"/>
      </w:pPr>
      <w:r w:rsidRPr="001E6A2E">
        <w:t>Jak vyplývá z aktuálních dat Operátora trhu s elektřinou (OTE), v roce 2022 proběhlo více změn dodavatele než v předkrizovém roce 2020. V případě elektřiny změnilo dodavatele 344 tisíc domácností, u zemního plynu pak 204 tisíc domácností.</w:t>
      </w:r>
    </w:p>
    <w:p w14:paraId="539F4D70" w14:textId="6FB14B28" w:rsidR="001E6A2E" w:rsidRPr="001E6A2E" w:rsidRDefault="001E6A2E" w:rsidP="001E6A2E">
      <w:pPr>
        <w:jc w:val="both"/>
      </w:pPr>
      <w:r w:rsidRPr="001E6A2E">
        <w:t xml:space="preserve">Významný nárůst v počtu odběratelů zaznamenal ARMEX ENERGY, a to jak v případě elektřiny, tak i zemního plynu. Více než 11 tisíc nových odběratelů elektrické energie představuje v porovnání s ostatními dodavateli páté místo, hned za dominantními dodavateli. ARMEX ENERGY tak meziročně vzrostl o více než třetinu a potvrdil své místo v první desítce dodavatelů. </w:t>
      </w:r>
    </w:p>
    <w:p w14:paraId="216A9C21" w14:textId="77777777" w:rsidR="001E6A2E" w:rsidRPr="001E6A2E" w:rsidRDefault="001E6A2E" w:rsidP="001E6A2E">
      <w:pPr>
        <w:jc w:val="both"/>
      </w:pPr>
      <w:r w:rsidRPr="001E6A2E">
        <w:t xml:space="preserve">Růst počtu odběrných míst zaznamenal ARMEX ENERGY také v případě zemního plynu. „V meziročním porovnání se jedná o jeden z nejlepších výsledků na trhu. Byli jsme svědky obav z nedostatku plynu, které měly za následek rušení stávajících přípojek a přechod části domácností na vytápění jinými tepelnými zdroji. Nová odběrná místa prakticky nevznikala a náš růst je tak především výsledkem úspěšné obchodní strategie,“ zhodnotil loňskou situaci David Otoupalík, člen dozorčí rady společnosti ARMEX ENERGY. </w:t>
      </w:r>
    </w:p>
    <w:p w14:paraId="11F45AAF" w14:textId="77777777" w:rsidR="001E6A2E" w:rsidRPr="001E6A2E" w:rsidRDefault="001E6A2E" w:rsidP="001E6A2E">
      <w:pPr>
        <w:jc w:val="both"/>
      </w:pPr>
    </w:p>
    <w:p w14:paraId="6647A3FE" w14:textId="77777777" w:rsidR="001E6A2E" w:rsidRPr="001E6A2E" w:rsidRDefault="001E6A2E" w:rsidP="001E6A2E">
      <w:pPr>
        <w:rPr>
          <w:b/>
          <w:bCs/>
          <w:color w:val="1E396D"/>
          <w:sz w:val="24"/>
          <w:szCs w:val="24"/>
        </w:rPr>
      </w:pPr>
      <w:r w:rsidRPr="001E6A2E">
        <w:rPr>
          <w:b/>
          <w:bCs/>
          <w:color w:val="1E396D"/>
          <w:sz w:val="24"/>
          <w:szCs w:val="24"/>
        </w:rPr>
        <w:t>Konzervativní nákupní strategie a vlastní zásobníky</w:t>
      </w:r>
    </w:p>
    <w:p w14:paraId="656B3EDB" w14:textId="77777777" w:rsidR="001E6A2E" w:rsidRPr="001E6A2E" w:rsidRDefault="001E6A2E" w:rsidP="001E6A2E">
      <w:pPr>
        <w:jc w:val="both"/>
      </w:pPr>
      <w:r w:rsidRPr="001E6A2E">
        <w:t xml:space="preserve">Česká společnost ARMEX ENERGY oslaví letos v dubnu 18. rok na trhu a patří po dominantních dodavatelích mezi nejsilnější hráče. Elektřinu nebo zemní plyn dodává téměř 80 tisícům zákazníkům. „Výkyvy cen byly v roce 2022 extrémní, ale stále se držíme naší dlouhodobé strategie postupných nákupů a průběžně tak zajišťujeme dostatek energie dle aktuálních potřeb našich zákazníků. U zemního plynu jsme šli ještě dále a držíme pro naše zákazníky několikaměsíční rezervu v pronajatých zásobnících na českém území,“ doplňuje pak Tomáš Horyna, projektový ředitel ARMEX ENERGY.  </w:t>
      </w:r>
    </w:p>
    <w:p w14:paraId="5E5753DD" w14:textId="77777777" w:rsidR="001E6A2E" w:rsidRPr="001E6A2E" w:rsidRDefault="001E6A2E" w:rsidP="001E6A2E">
      <w:pPr>
        <w:rPr>
          <w:b/>
          <w:bCs/>
          <w:color w:val="1E396D"/>
          <w:sz w:val="24"/>
          <w:szCs w:val="24"/>
        </w:rPr>
      </w:pPr>
    </w:p>
    <w:p w14:paraId="57392C3C" w14:textId="77777777" w:rsidR="001E6A2E" w:rsidRPr="001E6A2E" w:rsidRDefault="001E6A2E" w:rsidP="001E6A2E">
      <w:pPr>
        <w:rPr>
          <w:b/>
          <w:bCs/>
          <w:color w:val="1E396D"/>
          <w:sz w:val="24"/>
          <w:szCs w:val="24"/>
        </w:rPr>
      </w:pPr>
      <w:r w:rsidRPr="001E6A2E">
        <w:rPr>
          <w:b/>
          <w:bCs/>
          <w:color w:val="1E396D"/>
          <w:sz w:val="24"/>
          <w:szCs w:val="24"/>
        </w:rPr>
        <w:t>Růst i díky akvizicím</w:t>
      </w:r>
    </w:p>
    <w:p w14:paraId="38AAFFDE" w14:textId="6109D4BD" w:rsidR="001E6A2E" w:rsidRPr="001E6A2E" w:rsidRDefault="001E6A2E" w:rsidP="001E6A2E">
      <w:pPr>
        <w:jc w:val="both"/>
      </w:pPr>
      <w:r w:rsidRPr="001E6A2E">
        <w:t xml:space="preserve">ARMEX ENERGY i v období nejistoty na energetickém trhu nadále stabilně roste. Nejen díky vlastní obchodní aktivitě, ale také akvizicí menších dodavatelů energií. Těch bylo v loňském roce hned několik a vedení společnosti se netají tím, že chce v růstu pokračovat.  „Máme silné finanční zázemí skupiny ARMEX. Nadále sledujeme situaci na trhu a jsme připraveni na další akvizice menších dodavatelů také v tomto roce,“ doplňuje pak David Otoupalík. </w:t>
      </w:r>
    </w:p>
    <w:p w14:paraId="61039002" w14:textId="5BCAB112" w:rsidR="00EC662B" w:rsidRPr="00EC662B" w:rsidRDefault="001E6A2E" w:rsidP="00597A57">
      <w:pPr>
        <w:jc w:val="both"/>
      </w:pPr>
      <w:r w:rsidRPr="001E6A2E">
        <w:t>Kromě akvizic chce ARMEX posilovat i přípravou nových produktů. V letošním roce plánuje spustit nový model výroby elektřiny z fotovoltaických elektráren na pronajatých střechách, má v plánu zprovoznit fotovoltaiky na všech svých čerpacích stanicích a také připravuje v souladu s připravovanou legislativou inovativní projekty pro komunitní energetiku.</w:t>
      </w:r>
    </w:p>
    <w:sectPr w:rsidR="00EC662B" w:rsidRPr="00EC662B" w:rsidSect="00710FD4">
      <w:headerReference w:type="default" r:id="rId12"/>
      <w:footerReference w:type="default" r:id="rId13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A5DA" w14:textId="77777777" w:rsidR="00B4627B" w:rsidRDefault="00B4627B" w:rsidP="008E5D7A">
      <w:pPr>
        <w:spacing w:after="0" w:line="240" w:lineRule="auto"/>
      </w:pPr>
      <w:r>
        <w:separator/>
      </w:r>
    </w:p>
  </w:endnote>
  <w:endnote w:type="continuationSeparator" w:id="0">
    <w:p w14:paraId="053FFB62" w14:textId="77777777" w:rsidR="00B4627B" w:rsidRDefault="00B4627B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20B0803030202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3175" w14:textId="77777777" w:rsidR="00B4627B" w:rsidRDefault="00B4627B" w:rsidP="008E5D7A">
      <w:pPr>
        <w:spacing w:after="0" w:line="240" w:lineRule="auto"/>
      </w:pPr>
      <w:r>
        <w:separator/>
      </w:r>
    </w:p>
  </w:footnote>
  <w:footnote w:type="continuationSeparator" w:id="0">
    <w:p w14:paraId="11886AA1" w14:textId="77777777" w:rsidR="00B4627B" w:rsidRDefault="00B4627B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1E6A2E"/>
    <w:rsid w:val="002557CC"/>
    <w:rsid w:val="00273574"/>
    <w:rsid w:val="002748DE"/>
    <w:rsid w:val="002810F9"/>
    <w:rsid w:val="002A566C"/>
    <w:rsid w:val="002C4BF1"/>
    <w:rsid w:val="00364D7D"/>
    <w:rsid w:val="00387D0F"/>
    <w:rsid w:val="003927EF"/>
    <w:rsid w:val="003B1119"/>
    <w:rsid w:val="003C6B5F"/>
    <w:rsid w:val="003D2D58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97A57"/>
    <w:rsid w:val="005C3BCA"/>
    <w:rsid w:val="006331BF"/>
    <w:rsid w:val="006750DE"/>
    <w:rsid w:val="006A0FCF"/>
    <w:rsid w:val="006A4E31"/>
    <w:rsid w:val="006C367B"/>
    <w:rsid w:val="006D3A2D"/>
    <w:rsid w:val="00710FD4"/>
    <w:rsid w:val="00747C1C"/>
    <w:rsid w:val="007A02F4"/>
    <w:rsid w:val="00831159"/>
    <w:rsid w:val="0086585E"/>
    <w:rsid w:val="0088306B"/>
    <w:rsid w:val="008B0B4A"/>
    <w:rsid w:val="008C682A"/>
    <w:rsid w:val="008E5D7A"/>
    <w:rsid w:val="00930400"/>
    <w:rsid w:val="00990893"/>
    <w:rsid w:val="009D00CB"/>
    <w:rsid w:val="009D4158"/>
    <w:rsid w:val="00A31644"/>
    <w:rsid w:val="00A46CC9"/>
    <w:rsid w:val="00A52E09"/>
    <w:rsid w:val="00A5795C"/>
    <w:rsid w:val="00A73EF1"/>
    <w:rsid w:val="00AA5680"/>
    <w:rsid w:val="00AA6323"/>
    <w:rsid w:val="00B4627B"/>
    <w:rsid w:val="00B75A03"/>
    <w:rsid w:val="00B87875"/>
    <w:rsid w:val="00B904A1"/>
    <w:rsid w:val="00BB68FC"/>
    <w:rsid w:val="00BC4039"/>
    <w:rsid w:val="00BC5C59"/>
    <w:rsid w:val="00BC6D2E"/>
    <w:rsid w:val="00C006DD"/>
    <w:rsid w:val="00C80F99"/>
    <w:rsid w:val="00D10B8E"/>
    <w:rsid w:val="00D24971"/>
    <w:rsid w:val="00DB17AD"/>
    <w:rsid w:val="00DD145B"/>
    <w:rsid w:val="00E04F4A"/>
    <w:rsid w:val="00E37A2F"/>
    <w:rsid w:val="00E927DB"/>
    <w:rsid w:val="00E97C2C"/>
    <w:rsid w:val="00EA789D"/>
    <w:rsid w:val="00EC662B"/>
    <w:rsid w:val="00F0541D"/>
    <w:rsid w:val="00F70A84"/>
    <w:rsid w:val="00FA6224"/>
    <w:rsid w:val="00FC7C58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customXml/itemProps3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24</cp:revision>
  <cp:lastPrinted>2023-03-17T12:31:00Z</cp:lastPrinted>
  <dcterms:created xsi:type="dcterms:W3CDTF">2021-04-18T14:29:00Z</dcterms:created>
  <dcterms:modified xsi:type="dcterms:W3CDTF">2023-06-16T11:10:00Z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