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C083" w14:textId="28E51058" w:rsidR="00B904A1" w:rsidRDefault="00B904A1" w:rsidP="00525326">
      <w:pPr>
        <w:tabs>
          <w:tab w:val="left" w:pos="4752"/>
        </w:tabs>
      </w:pPr>
    </w:p>
    <w:p w14:paraId="7DBE4DE7" w14:textId="7CA05683" w:rsidR="00F70A84" w:rsidRPr="00F70A84" w:rsidRDefault="00F70A84" w:rsidP="00F70A84"/>
    <w:p w14:paraId="1293FA3B" w14:textId="3F08BEFE" w:rsidR="00F70A84" w:rsidRPr="00F70A84" w:rsidRDefault="00F70A84" w:rsidP="00F70A84"/>
    <w:p w14:paraId="632D24D0" w14:textId="2476D9F4" w:rsidR="00FA6224" w:rsidRPr="00766BC9" w:rsidRDefault="00A73274" w:rsidP="00A64FBF">
      <w:pPr>
        <w:rPr>
          <w:b/>
          <w:bCs/>
          <w:color w:val="1E396D"/>
          <w:sz w:val="32"/>
          <w:szCs w:val="32"/>
        </w:rPr>
      </w:pPr>
      <w:r w:rsidRPr="00A73274">
        <w:rPr>
          <w:b/>
          <w:bCs/>
          <w:color w:val="1E396D"/>
          <w:sz w:val="32"/>
          <w:szCs w:val="32"/>
        </w:rPr>
        <w:t>ARMEX ENERGY nadále posiluje svou pozici na energetickém trhu. Nyní přebírá zákazníky TGC Energie</w:t>
      </w:r>
    </w:p>
    <w:p w14:paraId="2C0FF93B" w14:textId="54E87B5C" w:rsidR="00FA6224" w:rsidRDefault="00766BC9" w:rsidP="00FA6224">
      <w:r>
        <w:t>0</w:t>
      </w:r>
      <w:r w:rsidR="00A73274">
        <w:t>1</w:t>
      </w:r>
      <w:r w:rsidR="00FA6224" w:rsidRPr="00FA6224">
        <w:t>.0</w:t>
      </w:r>
      <w:r w:rsidR="00A73274">
        <w:t>6</w:t>
      </w:r>
      <w:r w:rsidR="00FA6224" w:rsidRPr="00FA6224">
        <w:t>.202</w:t>
      </w:r>
      <w:r>
        <w:t>2</w:t>
      </w:r>
    </w:p>
    <w:p w14:paraId="42BF937B" w14:textId="77777777" w:rsidR="002F6D7C" w:rsidRPr="00FA6224" w:rsidRDefault="002F6D7C" w:rsidP="00FA6224"/>
    <w:p w14:paraId="3DEE2DF9" w14:textId="2BFF3867" w:rsidR="00A73274" w:rsidRPr="00A73274" w:rsidRDefault="00A73274" w:rsidP="00A73274">
      <w:pPr>
        <w:jc w:val="both"/>
        <w:rPr>
          <w:b/>
          <w:bCs/>
        </w:rPr>
      </w:pPr>
      <w:r w:rsidRPr="00A73274">
        <w:rPr>
          <w:b/>
          <w:bCs/>
        </w:rPr>
        <w:t>Společnost ARMEX ENERGY k 1. 6. 2022 přebírá kompletní portfolio zákazníků dodavatele TGC Energie a nadále tak posiluje své tržní postavení. Díky dosaženým obchodním výsledkům společnosti a této akvizici se ARMEX ENERGY s více než 90 tisíci odběrnými místy řadí mezi pět největších alternativních dodavatelů energií na tuzemském trhu.</w:t>
      </w:r>
    </w:p>
    <w:p w14:paraId="792987E2" w14:textId="792397E3" w:rsidR="00A73274" w:rsidRPr="00A73274" w:rsidRDefault="00A73274" w:rsidP="00A73274">
      <w:pPr>
        <w:jc w:val="both"/>
      </w:pPr>
      <w:r w:rsidRPr="00A73274">
        <w:t>K dokončení plánovaného prodeje části závodu TGC Energie s.r.o. dodavateli ARMEX ENERGY a.s. došlo ke dni 31. 5. 2022, a to včetně převedení všech práv a povinností k realizaci dodávek elektřiny a zemního plynu koncovým zákazníkům. „Máme radost, že jsme s TGC Energie uzavřeli dohodu, která je významným milníkem v historii naší společnosti. Naší snahou, stejně jako tomu bylo u TGC Energie, je nabízet zákazníkům komplexní portfolio produktů, a kromě výhodných podmínek dodávek elektřiny či zemního plynu navíc poskytovat i další služby domácnostem i firmám,“ říká Hynek Sagan, výkonný ředitel ARMEX ENERGY.</w:t>
      </w:r>
    </w:p>
    <w:p w14:paraId="45B1989B" w14:textId="77777777" w:rsidR="00A73274" w:rsidRDefault="00A73274" w:rsidP="00A73274">
      <w:pPr>
        <w:jc w:val="both"/>
        <w:rPr>
          <w:b/>
          <w:bCs/>
        </w:rPr>
      </w:pPr>
    </w:p>
    <w:p w14:paraId="438EE40D" w14:textId="5BCF95C5" w:rsidR="00A73274" w:rsidRDefault="00A73274" w:rsidP="00A73274">
      <w:pPr>
        <w:jc w:val="both"/>
        <w:rPr>
          <w:b/>
          <w:bCs/>
        </w:rPr>
      </w:pPr>
      <w:r w:rsidRPr="00A73274">
        <w:rPr>
          <w:b/>
          <w:bCs/>
        </w:rPr>
        <w:t>Podmínky smluv zůstávají beze změny</w:t>
      </w:r>
    </w:p>
    <w:p w14:paraId="6B329F39" w14:textId="49385DAE" w:rsidR="00A73274" w:rsidRPr="00A73274" w:rsidRDefault="00A73274" w:rsidP="00A73274">
      <w:pPr>
        <w:jc w:val="both"/>
        <w:rPr>
          <w:b/>
          <w:bCs/>
        </w:rPr>
      </w:pPr>
      <w:r w:rsidRPr="00A73274">
        <w:t>Pro zákazníky se převodem pod ARMEX ENERGY nic nemění. Produkt, platnosti smlouvy, stejně jako platební údaje a výše záloh zůstávají stejné, jako doposud. Zákazníci nemusí činit žádné kroky. „Chtěl bych všechny zákazníky ubezpečit, že v rámci převodu neproběhnou žádné změny produktů či obchodních podmínek. Veškeré smlouvy nadále pokračují dle dříve platných podmínek. Zároveň chci dodat, že ARMEX ENERGY má zajištěno dostatečné množství elektřiny a plynu pro všechny své stávající i nové zákazníky,“ doplňuje Sagan.</w:t>
      </w:r>
    </w:p>
    <w:p w14:paraId="10132FDE" w14:textId="77777777" w:rsidR="00A73274" w:rsidRPr="00A73274" w:rsidRDefault="00A73274" w:rsidP="00A73274">
      <w:pPr>
        <w:jc w:val="both"/>
      </w:pPr>
      <w:r w:rsidRPr="00A73274">
        <w:t>Zákazníkům bylo 1. 6. odesláno oznámení o odkupu částí závodu, včetně garance zachování stávajících podmínek dodávek. Pro přehlednost byla také zřízena stránka www.armexenergy.cz/tgc-energie, kde zákazníci najdou odpovědi na případné dotazy a veškeré dokumenty dodavatele TGC Energie.</w:t>
      </w:r>
    </w:p>
    <w:p w14:paraId="4B200953" w14:textId="77777777" w:rsidR="00A73274" w:rsidRPr="00A73274" w:rsidRDefault="00A73274" w:rsidP="00A73274">
      <w:pPr>
        <w:jc w:val="both"/>
      </w:pPr>
    </w:p>
    <w:p w14:paraId="1079FBA0" w14:textId="126EC138" w:rsidR="00A73274" w:rsidRPr="00A73274" w:rsidRDefault="00A73274" w:rsidP="00A73274">
      <w:pPr>
        <w:jc w:val="both"/>
        <w:rPr>
          <w:b/>
          <w:bCs/>
        </w:rPr>
      </w:pPr>
      <w:r w:rsidRPr="00A73274">
        <w:rPr>
          <w:b/>
          <w:bCs/>
        </w:rPr>
        <w:t>O společnosti ARMEX ENERGY a.s.</w:t>
      </w:r>
    </w:p>
    <w:p w14:paraId="306F7B41" w14:textId="1FF0DD83" w:rsidR="00766BC9" w:rsidRPr="00766BC9" w:rsidRDefault="00A73274" w:rsidP="00A64FBF">
      <w:pPr>
        <w:jc w:val="both"/>
      </w:pPr>
      <w:r w:rsidRPr="00A73274">
        <w:t>Společnost ARMEX ENERGY a.s. je součástí silné skupiny ARMEX GROUP působící na trhu téměř 30 let. Skupina v předchozích letech pravidelně patřila do prestižního žebříčku CZECH TOP 100 s obratem na úrovni 20 miliard Kč. To jí dodává stabilitu a zákazníkům jistotu důvěryhodného a stabilního partnera.</w:t>
      </w:r>
      <w:r w:rsidR="00EC662B">
        <w:tab/>
      </w:r>
    </w:p>
    <w:sectPr w:rsidR="00766BC9" w:rsidRPr="00766BC9" w:rsidSect="00710FD4">
      <w:headerReference w:type="default" r:id="rId12"/>
      <w:footerReference w:type="default" r:id="rId13"/>
      <w:pgSz w:w="11906" w:h="16838" w:code="9"/>
      <w:pgMar w:top="397" w:right="567" w:bottom="397" w:left="56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21BC" w14:textId="77777777" w:rsidR="00BA2EAA" w:rsidRDefault="00BA2EAA" w:rsidP="008E5D7A">
      <w:pPr>
        <w:spacing w:after="0" w:line="240" w:lineRule="auto"/>
      </w:pPr>
      <w:r>
        <w:separator/>
      </w:r>
    </w:p>
  </w:endnote>
  <w:endnote w:type="continuationSeparator" w:id="0">
    <w:p w14:paraId="745FC3E4" w14:textId="77777777" w:rsidR="00BA2EAA" w:rsidRDefault="00BA2EAA" w:rsidP="008E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Next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 Next Pro bold">
    <w:panose1 w:val="020B0803030202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4DD" w14:textId="41D8D5AF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bookmarkStart w:id="0" w:name="_Hlk129864722"/>
    <w:bookmarkStart w:id="1" w:name="_Hlk129864723"/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16EDF" wp14:editId="2184206E">
              <wp:simplePos x="0" y="0"/>
              <wp:positionH relativeFrom="column">
                <wp:posOffset>0</wp:posOffset>
              </wp:positionH>
              <wp:positionV relativeFrom="paragraph">
                <wp:posOffset>199293</wp:posOffset>
              </wp:positionV>
              <wp:extent cx="1270819" cy="211455"/>
              <wp:effectExtent l="0" t="0" r="5715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19" cy="211455"/>
                      </a:xfrm>
                      <a:prstGeom prst="rect">
                        <a:avLst/>
                      </a:prstGeom>
                      <a:solidFill>
                        <a:srgbClr val="E20816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4FEC54" w14:textId="77777777" w:rsidR="00EC662B" w:rsidRPr="00EC662B" w:rsidRDefault="00EC662B" w:rsidP="00EC662B">
                          <w:pPr>
                            <w:jc w:val="center"/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EC662B"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  <w:t>www.armexenergy.cz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16ED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15.7pt;width:100.0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" fillcolor="#e20816" stroked="f" strokeweight=".5pt">
              <v:textbox>
                <w:txbxContent>
                  <w:p w14:paraId="314FEC54" w14:textId="77777777" w:rsidR="00EC662B" w:rsidRPr="00EC662B" w:rsidRDefault="00EC662B" w:rsidP="00EC662B">
                    <w:pPr>
                      <w:jc w:val="center"/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</w:pPr>
                    <w:r w:rsidRPr="00EC662B"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  <w:t>www.armexenergy.cz</w:t>
                    </w:r>
                  </w:p>
                </w:txbxContent>
              </v:textbox>
            </v:shape>
          </w:pict>
        </mc:Fallback>
      </mc:AlternateContent>
    </w:r>
  </w:p>
  <w:p w14:paraId="7E6B6C8B" w14:textId="368A6CEC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59B27" wp14:editId="71E4B986">
              <wp:simplePos x="0" y="0"/>
              <wp:positionH relativeFrom="column">
                <wp:posOffset>3175</wp:posOffset>
              </wp:positionH>
              <wp:positionV relativeFrom="paragraph">
                <wp:posOffset>184238</wp:posOffset>
              </wp:positionV>
              <wp:extent cx="678724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724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208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B034616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4.5pt" to="534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" strokecolor="#e20816" strokeweight="1.5pt">
              <v:stroke joinstyle="miter"/>
            </v:line>
          </w:pict>
        </mc:Fallback>
      </mc:AlternateContent>
    </w:r>
  </w:p>
  <w:p w14:paraId="52B1C0C8" w14:textId="3DFDDC88" w:rsidR="002557CC" w:rsidRPr="002557CC" w:rsidRDefault="00F70A84" w:rsidP="002557CC">
    <w:pPr>
      <w:rPr>
        <w:rFonts w:ascii="UniversNextPro-Bold" w:hAnsi="UniversNextPro-Bold" w:cs="UniversNextPro-Bold"/>
        <w:color w:val="1E3A6E"/>
        <w:sz w:val="14"/>
        <w:szCs w:val="14"/>
      </w:rPr>
    </w:pPr>
    <w:r w:rsidRPr="00F70A8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28610A" wp14:editId="5F1F9100">
              <wp:simplePos x="0" y="0"/>
              <wp:positionH relativeFrom="column">
                <wp:posOffset>-892628</wp:posOffset>
              </wp:positionH>
              <wp:positionV relativeFrom="paragraph">
                <wp:posOffset>-918664</wp:posOffset>
              </wp:positionV>
              <wp:extent cx="388620" cy="10043160"/>
              <wp:effectExtent l="0" t="0" r="11430" b="15240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" cy="100431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7E9CC91" id="Obdélník 12" o:spid="_x0000_s1026" style="position:absolute;margin-left:-70.3pt;margin-top:-72.35pt;width:30.6pt;height:79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" fillcolor="#5b9bd5 [3204]" strokecolor="#1f4d78 [1604]" strokeweight="1pt"/>
          </w:pict>
        </mc:Fallback>
      </mc:AlternateContent>
    </w:r>
    <w:r w:rsidRPr="00F70A84">
      <w:rPr>
        <w:rFonts w:ascii="UniversNextPro-Bold" w:hAnsi="UniversNextPro-Bold" w:cs="UniversNextPro-Bold"/>
        <w:b/>
        <w:bCs/>
        <w:color w:val="1E3A6E"/>
        <w:sz w:val="14"/>
        <w:szCs w:val="14"/>
      </w:rPr>
      <w:t>ARMEX ENERGY a.s.</w:t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IČ: 272 66</w:t>
    </w:r>
    <w:r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141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                   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Zákaznická linka: 412 154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15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Společnost zapsána v obchodním rejstříku vedeném</w:t>
    </w:r>
    <w:r w:rsidRPr="00710FD4">
      <w:rPr>
        <w:color w:val="1E3A6E"/>
      </w:rPr>
      <w:br/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F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olknářská 1246/21, 405 02 Děčín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DIČ: CZ 272 66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141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</w:t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E-mail: energy@armexenergy.c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z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Krajským soudem v Ústí nad Labem, oddíl B, vložka 160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>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6AA2" w14:textId="77777777" w:rsidR="00BA2EAA" w:rsidRDefault="00BA2EAA" w:rsidP="008E5D7A">
      <w:pPr>
        <w:spacing w:after="0" w:line="240" w:lineRule="auto"/>
      </w:pPr>
      <w:r>
        <w:separator/>
      </w:r>
    </w:p>
  </w:footnote>
  <w:footnote w:type="continuationSeparator" w:id="0">
    <w:p w14:paraId="7CFCDC2C" w14:textId="77777777" w:rsidR="00BA2EAA" w:rsidRDefault="00BA2EAA" w:rsidP="008E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4D6C" w14:textId="5C451AE8" w:rsidR="008E5D7A" w:rsidRPr="00273574" w:rsidRDefault="00114C21" w:rsidP="00E927DB">
    <w:pPr>
      <w:pStyle w:val="Zhlav"/>
    </w:pPr>
    <w:r w:rsidRPr="002810F9">
      <w:rPr>
        <w:noProof/>
      </w:rPr>
      <w:drawing>
        <wp:anchor distT="0" distB="0" distL="114300" distR="114300" simplePos="0" relativeHeight="251659263" behindDoc="0" locked="0" layoutInCell="1" allowOverlap="1" wp14:anchorId="0FA64ED2" wp14:editId="296D337C">
          <wp:simplePos x="0" y="0"/>
          <wp:positionH relativeFrom="column">
            <wp:posOffset>-262255</wp:posOffset>
          </wp:positionH>
          <wp:positionV relativeFrom="paragraph">
            <wp:posOffset>-265853</wp:posOffset>
          </wp:positionV>
          <wp:extent cx="2768600" cy="791376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79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ADB"/>
    <w:multiLevelType w:val="hybridMultilevel"/>
    <w:tmpl w:val="B4360302"/>
    <w:lvl w:ilvl="0" w:tplc="89E83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1A27"/>
    <w:multiLevelType w:val="hybridMultilevel"/>
    <w:tmpl w:val="1354DBDA"/>
    <w:lvl w:ilvl="0" w:tplc="9AC2A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438144">
    <w:abstractNumId w:val="0"/>
  </w:num>
  <w:num w:numId="2" w16cid:durableId="155445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7A"/>
    <w:rsid w:val="00035B82"/>
    <w:rsid w:val="00046A62"/>
    <w:rsid w:val="00070822"/>
    <w:rsid w:val="00093F1B"/>
    <w:rsid w:val="000956F2"/>
    <w:rsid w:val="000B5291"/>
    <w:rsid w:val="000F30A8"/>
    <w:rsid w:val="00100751"/>
    <w:rsid w:val="00107DDE"/>
    <w:rsid w:val="00114C21"/>
    <w:rsid w:val="00144CF5"/>
    <w:rsid w:val="001B008C"/>
    <w:rsid w:val="001D64C6"/>
    <w:rsid w:val="002557CC"/>
    <w:rsid w:val="00273574"/>
    <w:rsid w:val="002748DE"/>
    <w:rsid w:val="002810F9"/>
    <w:rsid w:val="002A566C"/>
    <w:rsid w:val="002C4BF1"/>
    <w:rsid w:val="002F6D7C"/>
    <w:rsid w:val="00364D7D"/>
    <w:rsid w:val="00387D0F"/>
    <w:rsid w:val="003927EF"/>
    <w:rsid w:val="003B1119"/>
    <w:rsid w:val="003C6B5F"/>
    <w:rsid w:val="003D2D58"/>
    <w:rsid w:val="00405F77"/>
    <w:rsid w:val="00406D7C"/>
    <w:rsid w:val="00450678"/>
    <w:rsid w:val="0048260F"/>
    <w:rsid w:val="00484F70"/>
    <w:rsid w:val="0049506F"/>
    <w:rsid w:val="00496DAB"/>
    <w:rsid w:val="004A2BC1"/>
    <w:rsid w:val="004B2F04"/>
    <w:rsid w:val="005057D2"/>
    <w:rsid w:val="00525326"/>
    <w:rsid w:val="00563A52"/>
    <w:rsid w:val="005C3BCA"/>
    <w:rsid w:val="006331BF"/>
    <w:rsid w:val="006750DE"/>
    <w:rsid w:val="006A0FCF"/>
    <w:rsid w:val="006A4E31"/>
    <w:rsid w:val="006C367B"/>
    <w:rsid w:val="006D3A2D"/>
    <w:rsid w:val="00710FD4"/>
    <w:rsid w:val="00747C1C"/>
    <w:rsid w:val="00766BC9"/>
    <w:rsid w:val="007A02F4"/>
    <w:rsid w:val="00831159"/>
    <w:rsid w:val="0086585E"/>
    <w:rsid w:val="0088306B"/>
    <w:rsid w:val="008B0B4A"/>
    <w:rsid w:val="008C682A"/>
    <w:rsid w:val="008E5D7A"/>
    <w:rsid w:val="00930400"/>
    <w:rsid w:val="00990893"/>
    <w:rsid w:val="009D00CB"/>
    <w:rsid w:val="009D4158"/>
    <w:rsid w:val="00A31644"/>
    <w:rsid w:val="00A46CC9"/>
    <w:rsid w:val="00A52E09"/>
    <w:rsid w:val="00A5795C"/>
    <w:rsid w:val="00A64FBF"/>
    <w:rsid w:val="00A73274"/>
    <w:rsid w:val="00A73EF1"/>
    <w:rsid w:val="00AA5680"/>
    <w:rsid w:val="00B75A03"/>
    <w:rsid w:val="00B87875"/>
    <w:rsid w:val="00B904A1"/>
    <w:rsid w:val="00BA2EAA"/>
    <w:rsid w:val="00BC4039"/>
    <w:rsid w:val="00BC5C59"/>
    <w:rsid w:val="00BC6D2E"/>
    <w:rsid w:val="00C006DD"/>
    <w:rsid w:val="00C80F99"/>
    <w:rsid w:val="00D10B8E"/>
    <w:rsid w:val="00D24971"/>
    <w:rsid w:val="00DB17AD"/>
    <w:rsid w:val="00DD145B"/>
    <w:rsid w:val="00E04F4A"/>
    <w:rsid w:val="00E37A2F"/>
    <w:rsid w:val="00E927DB"/>
    <w:rsid w:val="00E97C2C"/>
    <w:rsid w:val="00EA789D"/>
    <w:rsid w:val="00EC662B"/>
    <w:rsid w:val="00F0541D"/>
    <w:rsid w:val="00F70A84"/>
    <w:rsid w:val="00FA6224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AFA05"/>
  <w15:docId w15:val="{3A59CB13-FEB1-4F03-8BC5-F4CAC62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C5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7A"/>
  </w:style>
  <w:style w:type="paragraph" w:styleId="Zpat">
    <w:name w:val="footer"/>
    <w:basedOn w:val="Normln"/>
    <w:link w:val="Zpat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7A"/>
  </w:style>
  <w:style w:type="character" w:styleId="Siln">
    <w:name w:val="Strong"/>
    <w:basedOn w:val="Standardnpsmoodstavce"/>
    <w:uiPriority w:val="22"/>
    <w:qFormat/>
    <w:rsid w:val="00BC5C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00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0A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0108b3-1955-4063-9738-ee5ed40f48c0">VQUVMUTHWSWQ-45821509-3349</_dlc_DocId>
    <_dlc_DocIdUrl xmlns="cf0108b3-1955-4063-9738-ee5ed40f48c0">
      <Url>https://armexenergy.sharepoint.com/sites/ridici_dokumentace_ae/_layouts/15/DocIdRedir.aspx?ID=VQUVMUTHWSWQ-45821509-3349</Url>
      <Description>VQUVMUTHWSWQ-45821509-3349</Description>
    </_dlc_DocIdUrl>
    <_x0074_j78 xmlns="f13306b1-731a-4961-9320-e4e0479fded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B90EC0AEA4F44ADD3732E2180D57B" ma:contentTypeVersion="12" ma:contentTypeDescription="Create a new document." ma:contentTypeScope="" ma:versionID="7e379dc5f6eaaef035007f5e59b9f029">
  <xsd:schema xmlns:xsd="http://www.w3.org/2001/XMLSchema" xmlns:xs="http://www.w3.org/2001/XMLSchema" xmlns:p="http://schemas.microsoft.com/office/2006/metadata/properties" xmlns:ns2="cf0108b3-1955-4063-9738-ee5ed40f48c0" xmlns:ns3="f13306b1-731a-4961-9320-e4e0479fded5" targetNamespace="http://schemas.microsoft.com/office/2006/metadata/properties" ma:root="true" ma:fieldsID="14b7aa7fd1bf2dee8f13560a7fe98abc" ns2:_="" ns3:_="">
    <xsd:import namespace="cf0108b3-1955-4063-9738-ee5ed40f48c0"/>
    <xsd:import namespace="f13306b1-731a-4961-9320-e4e0479fd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x0074_j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108b3-1955-4063-9738-ee5ed40f48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06b1-731a-4961-9320-e4e0479fd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_x0074_j78" ma:index="22" nillable="true" ma:displayName="Datum a čas" ma:internalName="_x0074_j78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9077D2-7E8E-4BBE-9215-4B5583F38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DB407-495F-4961-9C02-E77C497DD269}">
  <ds:schemaRefs>
    <ds:schemaRef ds:uri="http://schemas.microsoft.com/office/2006/metadata/properties"/>
    <ds:schemaRef ds:uri="http://schemas.microsoft.com/office/infopath/2007/PartnerControls"/>
    <ds:schemaRef ds:uri="cf0108b3-1955-4063-9738-ee5ed40f48c0"/>
    <ds:schemaRef ds:uri="f13306b1-731a-4961-9320-e4e0479fded5"/>
  </ds:schemaRefs>
</ds:datastoreItem>
</file>

<file path=customXml/itemProps3.xml><?xml version="1.0" encoding="utf-8"?>
<ds:datastoreItem xmlns:ds="http://schemas.openxmlformats.org/officeDocument/2006/customXml" ds:itemID="{921512B3-7F27-4D67-A320-A094628835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2D789C-66B6-4469-958E-B52C14D95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108b3-1955-4063-9738-ee5ed40f48c0"/>
    <ds:schemaRef ds:uri="f13306b1-731a-4961-9320-e4e0479fd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6DA319-F0DA-4BB5-BEF0-4155AD1D5BA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Ludvík</dc:creator>
  <cp:lastModifiedBy>Pernica Jakub</cp:lastModifiedBy>
  <cp:revision>24</cp:revision>
  <cp:lastPrinted>2023-03-17T12:31:00Z</cp:lastPrinted>
  <dcterms:created xsi:type="dcterms:W3CDTF">2021-04-18T14:29:00Z</dcterms:created>
  <dcterms:modified xsi:type="dcterms:W3CDTF">2023-06-16T11:11:00Z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0x010100898B90EC0AEA4F44ADD3732E2180D57B</vt:lpwstr>
  </property>
  <property fmtid="{D5CDD505-2E9C-101B-9397-08002B2CF9AE}" pid="3" name="_dlc_DocIdItemGuid">
    <vt:lpwstr>813a8144-a385-4cda-9965-368cd7ae8627</vt:lpwstr>
  </property>
</Properties>
</file>